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sz w:val="24"/>
          <w:szCs w:val="24"/>
        </w:rPr>
        <w:t>S11</w:t>
      </w:r>
      <w:r>
        <w:rPr>
          <w:rFonts w:ascii="Calibri" w:hAnsi="Calibri" w:cs="Calibri"/>
          <w:b/>
          <w:bCs/>
          <w:sz w:val="24"/>
          <w:szCs w:val="24"/>
        </w:rPr>
        <w:t>. Logistic regression analysis of factors associated with VM positivity rate in HCC tissues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29"/>
        <w:gridCol w:w="972"/>
        <w:gridCol w:w="812"/>
        <w:gridCol w:w="871"/>
        <w:gridCol w:w="1084"/>
        <w:gridCol w:w="991"/>
        <w:gridCol w:w="1795"/>
      </w:tblGrid>
      <w:tr w:rsidR="00EC5A43">
        <w:trPr>
          <w:trHeight w:val="345"/>
        </w:trPr>
        <w:tc>
          <w:tcPr>
            <w:tcW w:w="168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Independent variable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1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SE.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Wald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P-value</w:t>
            </w:r>
          </w:p>
        </w:tc>
        <w:tc>
          <w:tcPr>
            <w:tcW w:w="50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Exp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(B)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95% CI</w:t>
            </w:r>
          </w:p>
        </w:tc>
      </w:tr>
      <w:tr w:rsidR="00EC5A43">
        <w:trPr>
          <w:trHeight w:val="330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Smoking history (yes)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0.005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1.004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0.996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1.005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0.141-7.187 </w:t>
            </w:r>
          </w:p>
        </w:tc>
      </w:tr>
      <w:tr w:rsidR="00EC5A43">
        <w:trPr>
          <w:trHeight w:val="31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miR-215-5p expression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-6.609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3.351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3.889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0.049*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0.001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0.000-0.960</w:t>
            </w:r>
          </w:p>
        </w:tc>
      </w:tr>
      <w:tr w:rsidR="00EC5A43">
        <w:trPr>
          <w:trHeight w:val="31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ZEB2 expression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2.404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1.128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4.537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0.033*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11.063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1.211-101.033</w:t>
            </w:r>
          </w:p>
        </w:tc>
      </w:tr>
      <w:tr w:rsidR="00EC5A43">
        <w:trPr>
          <w:trHeight w:val="31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Tumor size (≤5cm)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-3.051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1.535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3.95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0" w:name="RANGE!E5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0.047*</w:t>
            </w:r>
            <w:bookmarkEnd w:id="0"/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0.047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0.002-0.959</w:t>
            </w:r>
          </w:p>
        </w:tc>
      </w:tr>
      <w:tr w:rsidR="00EC5A43">
        <w:trPr>
          <w:trHeight w:val="315"/>
        </w:trPr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TNM staging (stage III-IV)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1.903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1.638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1.351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0.245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6.709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0.271-166.201 </w:t>
            </w:r>
          </w:p>
        </w:tc>
      </w:tr>
      <w:tr w:rsidR="00EC5A43">
        <w:trPr>
          <w:trHeight w:val="330"/>
        </w:trPr>
        <w:tc>
          <w:tcPr>
            <w:tcW w:w="168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Microvascular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density (MVD)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0.180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0.087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4.289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0.038*</w:t>
            </w:r>
          </w:p>
        </w:tc>
        <w:tc>
          <w:tcPr>
            <w:tcW w:w="5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1.198</w:t>
            </w:r>
          </w:p>
        </w:tc>
        <w:tc>
          <w:tcPr>
            <w:tcW w:w="9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1.010-1.420</w:t>
            </w:r>
          </w:p>
        </w:tc>
      </w:tr>
    </w:tbl>
    <w:p w:rsidR="00EC5A43" w:rsidRDefault="00EC5A43" w:rsidP="007A27E7">
      <w:pPr>
        <w:adjustRightInd w:val="0"/>
        <w:snapToGrid w:val="0"/>
        <w:rPr>
          <w:rFonts w:ascii="Calibri" w:hAnsi="Calibri" w:cs="Calibri"/>
        </w:rPr>
      </w:pPr>
      <w:bookmarkStart w:id="1" w:name="_GoBack"/>
      <w:bookmarkEnd w:id="1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C4" w:rsidRDefault="00624B7F">
      <w:r>
        <w:separator/>
      </w:r>
    </w:p>
  </w:endnote>
  <w:endnote w:type="continuationSeparator" w:id="0">
    <w:p w:rsidR="006D02C4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A27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A27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C4" w:rsidRDefault="00624B7F">
      <w:r>
        <w:separator/>
      </w:r>
    </w:p>
  </w:footnote>
  <w:footnote w:type="continuationSeparator" w:id="0">
    <w:p w:rsidR="006D02C4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02C4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A27E7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